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066" w:rsidRDefault="000C31E3">
      <w:pPr>
        <w:pStyle w:val="a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無損害公共設施查驗紀錄表</w:t>
      </w:r>
    </w:p>
    <w:p w:rsidR="00E50066" w:rsidRDefault="000C31E3">
      <w:pPr>
        <w:pStyle w:val="a4"/>
        <w:spacing w:line="24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建照號碼：建造執造</w:t>
      </w:r>
      <w:r w:rsidR="00287990"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/>
          <w:b/>
        </w:rPr>
        <w:t>林建字第</w:t>
      </w:r>
      <w:r w:rsidR="00287990"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/>
          <w:b/>
        </w:rPr>
        <w:t>號</w:t>
      </w:r>
    </w:p>
    <w:p w:rsidR="00E50066" w:rsidRDefault="000C31E3">
      <w:pPr>
        <w:pStyle w:val="a4"/>
        <w:spacing w:line="24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建築物位置：</w:t>
      </w:r>
      <w:r w:rsidR="00C73608">
        <w:rPr>
          <w:rFonts w:ascii="標楷體" w:eastAsia="標楷體" w:hAnsi="標楷體" w:hint="eastAsia"/>
          <w:b/>
        </w:rPr>
        <w:t xml:space="preserve">    </w:t>
      </w:r>
      <w:bookmarkStart w:id="0" w:name="_GoBack"/>
      <w:bookmarkEnd w:id="0"/>
      <w:r>
        <w:rPr>
          <w:rFonts w:ascii="標楷體" w:eastAsia="標楷體" w:hAnsi="標楷體"/>
          <w:b/>
        </w:rPr>
        <w:t>段</w:t>
      </w:r>
      <w:r w:rsidR="00287990">
        <w:rPr>
          <w:rFonts w:ascii="標楷體" w:eastAsia="標楷體" w:hAnsi="標楷體" w:hint="eastAsia"/>
          <w:b/>
        </w:rPr>
        <w:t xml:space="preserve">   </w:t>
      </w:r>
      <w:r>
        <w:rPr>
          <w:rFonts w:ascii="標楷體" w:eastAsia="標楷體" w:hAnsi="標楷體"/>
          <w:b/>
        </w:rPr>
        <w:t>、</w:t>
      </w:r>
      <w:r w:rsidR="00287990">
        <w:rPr>
          <w:rFonts w:ascii="標楷體" w:eastAsia="標楷體" w:hAnsi="標楷體" w:hint="eastAsia"/>
          <w:b/>
        </w:rPr>
        <w:t xml:space="preserve">   </w:t>
      </w:r>
      <w:r>
        <w:rPr>
          <w:rFonts w:ascii="標楷體" w:eastAsia="標楷體" w:hAnsi="標楷體"/>
          <w:b/>
        </w:rPr>
        <w:t>及</w:t>
      </w:r>
      <w:r w:rsidR="00287990">
        <w:rPr>
          <w:rFonts w:ascii="標楷體" w:eastAsia="標楷體" w:hAnsi="標楷體" w:hint="eastAsia"/>
          <w:b/>
        </w:rPr>
        <w:t xml:space="preserve">   </w:t>
      </w:r>
      <w:r>
        <w:rPr>
          <w:rFonts w:ascii="標楷體" w:eastAsia="標楷體" w:hAnsi="標楷體"/>
          <w:b/>
        </w:rPr>
        <w:t>地號</w:t>
      </w:r>
    </w:p>
    <w:p w:rsidR="00E50066" w:rsidRDefault="000C31E3">
      <w:pPr>
        <w:pStyle w:val="a4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1169035</wp:posOffset>
                </wp:positionH>
                <wp:positionV relativeFrom="paragraph">
                  <wp:posOffset>968375</wp:posOffset>
                </wp:positionV>
                <wp:extent cx="1104900" cy="572135"/>
                <wp:effectExtent l="0" t="0" r="0" b="0"/>
                <wp:wrapNone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840" cy="57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50066" w:rsidRDefault="000C31E3">
                            <w:r>
                              <w:rPr>
                                <w:rFonts w:eastAsia="標楷體"/>
                                <w:color w:val="FF3333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color w:val="FF3333"/>
                              </w:rPr>
                              <w:t>編號公路</w:t>
                            </w:r>
                          </w:p>
                          <w:p w:rsidR="00E50066" w:rsidRDefault="000C31E3">
                            <w:r>
                              <w:rPr>
                                <w:rFonts w:eastAsia="標楷體"/>
                                <w:color w:val="FF3333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color w:val="FF3333"/>
                              </w:rPr>
                              <w:t>市區道路</w:t>
                            </w:r>
                          </w:p>
                          <w:p w:rsidR="00E50066" w:rsidRDefault="00E50066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形狀1" o:spid="_x0000_s1026" type="#_x0000_t202" style="position:absolute;margin-left:92.05pt;margin-top:76.25pt;width:87pt;height:45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" o:allowincell="f" filled="f" stroked="f" strokeweight="0">
                <v:textbox inset="0,0,0,0">
                  <w:txbxContent>
                    <w:p w:rsidR="00E50066" w:rsidRDefault="000C31E3">
                      <w:r>
                        <w:rPr>
                          <w:rFonts w:eastAsia="標楷體"/>
                          <w:color w:val="FF3333"/>
                        </w:rPr>
                        <w:t>□</w:t>
                      </w:r>
                      <w:r>
                        <w:rPr>
                          <w:rFonts w:eastAsia="標楷體"/>
                          <w:color w:val="FF3333"/>
                        </w:rPr>
                        <w:t>編號公路</w:t>
                      </w:r>
                    </w:p>
                    <w:p w:rsidR="00E50066" w:rsidRDefault="000C31E3">
                      <w:r>
                        <w:rPr>
                          <w:rFonts w:eastAsia="標楷體"/>
                          <w:color w:val="FF3333"/>
                        </w:rPr>
                        <w:t>□</w:t>
                      </w:r>
                      <w:r>
                        <w:rPr>
                          <w:rFonts w:eastAsia="標楷體"/>
                          <w:color w:val="FF3333"/>
                        </w:rPr>
                        <w:t>市區道路</w:t>
                      </w:r>
                    </w:p>
                    <w:p w:rsidR="00E50066" w:rsidRDefault="00E50066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</w:rPr>
        <w:t>查驗單位：新北市林口區公所</w:t>
      </w:r>
    </w:p>
    <w:tbl>
      <w:tblPr>
        <w:tblW w:w="9930" w:type="dxa"/>
        <w:tblInd w:w="-1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3322"/>
        <w:gridCol w:w="2509"/>
        <w:gridCol w:w="1436"/>
        <w:gridCol w:w="1077"/>
        <w:gridCol w:w="913"/>
      </w:tblGrid>
      <w:tr w:rsidR="00E50066">
        <w:trPr>
          <w:trHeight w:val="450"/>
        </w:trPr>
        <w:tc>
          <w:tcPr>
            <w:tcW w:w="39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066" w:rsidRDefault="000C31E3">
            <w:pPr>
              <w:pStyle w:val="a8"/>
              <w:ind w:left="4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 xml:space="preserve">查    驗    項    目 </w:t>
            </w:r>
          </w:p>
        </w:tc>
        <w:tc>
          <w:tcPr>
            <w:tcW w:w="25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E50066" w:rsidRDefault="000C31E3">
            <w:pPr>
              <w:pStyle w:val="a8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查 驗 單 位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E50066" w:rsidRDefault="000C31E3">
            <w:pPr>
              <w:pStyle w:val="a8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查驗日期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E50066" w:rsidRDefault="000C31E3">
            <w:pPr>
              <w:pStyle w:val="a8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查驗結果</w:t>
            </w:r>
          </w:p>
        </w:tc>
      </w:tr>
      <w:tr w:rsidR="00E50066">
        <w:tc>
          <w:tcPr>
            <w:tcW w:w="39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066" w:rsidRDefault="00E50066"/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0C31E3">
            <w:pPr>
              <w:pStyle w:val="a8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單  位 / 姓  名</w:t>
            </w:r>
          </w:p>
        </w:tc>
        <w:tc>
          <w:tcPr>
            <w:tcW w:w="143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E50066" w:rsidRDefault="00E50066"/>
        </w:tc>
        <w:tc>
          <w:tcPr>
            <w:tcW w:w="199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E50066" w:rsidRDefault="00E50066"/>
        </w:tc>
      </w:tr>
      <w:tr w:rsidR="00E50066">
        <w:trPr>
          <w:trHeight w:val="737"/>
        </w:trPr>
        <w:tc>
          <w:tcPr>
            <w:tcW w:w="6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E50066" w:rsidRDefault="000C31E3">
            <w:pPr>
              <w:pStyle w:val="a8"/>
              <w:ind w:left="40"/>
              <w:rPr>
                <w:rFonts w:ascii="標楷體" w:eastAsia="標楷體" w:hAnsi="標楷體"/>
                <w:color w:val="FF3300"/>
              </w:rPr>
            </w:pPr>
            <w:r>
              <w:rPr>
                <w:rFonts w:ascii="標楷體" w:eastAsia="標楷體" w:hAnsi="標楷體"/>
                <w:color w:val="FF330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FF33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FF3300"/>
              </w:rPr>
              <w:t>)</w:t>
            </w:r>
          </w:p>
        </w:tc>
        <w:tc>
          <w:tcPr>
            <w:tcW w:w="332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</w:pPr>
          </w:p>
          <w:p w:rsidR="00E50066" w:rsidRDefault="000C31E3">
            <w:pPr>
              <w:pStyle w:val="a8"/>
              <w:ind w:left="40"/>
              <w:rPr>
                <w:rFonts w:ascii="標楷體" w:eastAsia="標楷體" w:hAnsi="標楷體"/>
                <w:color w:val="FF3333"/>
              </w:rPr>
            </w:pPr>
            <w:r>
              <w:rPr>
                <w:rFonts w:ascii="標楷體" w:eastAsia="標楷體" w:hAnsi="標楷體"/>
                <w:color w:val="FF3333"/>
              </w:rPr>
              <w:t>基地周邊</w:t>
            </w:r>
          </w:p>
          <w:p w:rsidR="00E50066" w:rsidRDefault="00E50066">
            <w:pPr>
              <w:pStyle w:val="a8"/>
              <w:ind w:left="40"/>
              <w:rPr>
                <w:rFonts w:ascii="標楷體" w:eastAsia="標楷體" w:hAnsi="標楷體"/>
                <w:color w:val="FF3333"/>
              </w:rPr>
            </w:pPr>
          </w:p>
          <w:p w:rsidR="00E50066" w:rsidRDefault="000C31E3">
            <w:pPr>
              <w:pStyle w:val="a8"/>
              <w:ind w:left="40"/>
              <w:rPr>
                <w:rFonts w:ascii="標楷體" w:eastAsia="標楷體" w:hAnsi="標楷體"/>
                <w:color w:val="FF3333"/>
              </w:rPr>
            </w:pPr>
            <w:r>
              <w:rPr>
                <w:rFonts w:ascii="標楷體" w:eastAsia="標楷體" w:hAnsi="標楷體"/>
                <w:color w:val="FF3333"/>
              </w:rPr>
              <w:t>道路是否修復完成</w:t>
            </w:r>
          </w:p>
        </w:tc>
        <w:tc>
          <w:tcPr>
            <w:tcW w:w="250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0C31E3">
            <w:pPr>
              <w:pStyle w:val="a8"/>
              <w:jc w:val="center"/>
              <w:rPr>
                <w:rFonts w:ascii="標楷體" w:eastAsia="標楷體" w:hAnsi="標楷體"/>
                <w:color w:val="FF3333"/>
              </w:rPr>
            </w:pPr>
            <w:r>
              <w:rPr>
                <w:rFonts w:ascii="標楷體" w:eastAsia="標楷體" w:hAnsi="標楷體"/>
                <w:color w:val="FF3333"/>
              </w:rPr>
              <w:t>是</w:t>
            </w: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0066">
        <w:trPr>
          <w:trHeight w:val="737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E50066" w:rsidRDefault="00E50066"/>
        </w:tc>
        <w:tc>
          <w:tcPr>
            <w:tcW w:w="332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25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143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10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0C31E3">
            <w:pPr>
              <w:pStyle w:val="a8"/>
              <w:jc w:val="center"/>
              <w:rPr>
                <w:rFonts w:ascii="標楷體" w:eastAsia="標楷體" w:hAnsi="標楷體"/>
                <w:color w:val="FF3333"/>
              </w:rPr>
            </w:pPr>
            <w:r>
              <w:rPr>
                <w:rFonts w:ascii="標楷體" w:eastAsia="標楷體" w:hAnsi="標楷體"/>
                <w:color w:val="FF3333"/>
              </w:rPr>
              <w:t>否</w:t>
            </w: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0066">
        <w:trPr>
          <w:trHeight w:val="510"/>
        </w:trPr>
        <w:tc>
          <w:tcPr>
            <w:tcW w:w="6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E50066" w:rsidRDefault="000C31E3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(二)</w:t>
            </w:r>
          </w:p>
        </w:tc>
        <w:tc>
          <w:tcPr>
            <w:tcW w:w="332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0C31E3">
            <w:pPr>
              <w:pStyle w:val="a8"/>
              <w:ind w:left="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基地周邊之溝渠(公共排水溝)是否修復完成</w:t>
            </w:r>
          </w:p>
        </w:tc>
        <w:tc>
          <w:tcPr>
            <w:tcW w:w="250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0C31E3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0066">
        <w:trPr>
          <w:trHeight w:val="510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E50066" w:rsidRDefault="00E50066"/>
        </w:tc>
        <w:tc>
          <w:tcPr>
            <w:tcW w:w="332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25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143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10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0C31E3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0066">
        <w:trPr>
          <w:trHeight w:val="510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E50066" w:rsidRDefault="00E50066"/>
        </w:tc>
        <w:tc>
          <w:tcPr>
            <w:tcW w:w="332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25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143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10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0C31E3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無此項</w:t>
            </w: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0066">
        <w:trPr>
          <w:trHeight w:val="510"/>
        </w:trPr>
        <w:tc>
          <w:tcPr>
            <w:tcW w:w="6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E50066" w:rsidRDefault="000C31E3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(三)</w:t>
            </w:r>
          </w:p>
        </w:tc>
        <w:tc>
          <w:tcPr>
            <w:tcW w:w="332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0C31E3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基地周邊路燈是否修復完成</w:t>
            </w:r>
          </w:p>
        </w:tc>
        <w:tc>
          <w:tcPr>
            <w:tcW w:w="250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0C31E3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0066">
        <w:trPr>
          <w:trHeight w:val="510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E50066" w:rsidRDefault="00E50066"/>
        </w:tc>
        <w:tc>
          <w:tcPr>
            <w:tcW w:w="332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25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143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10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0C31E3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0066">
        <w:trPr>
          <w:trHeight w:val="510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E50066" w:rsidRDefault="00E50066"/>
        </w:tc>
        <w:tc>
          <w:tcPr>
            <w:tcW w:w="332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25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143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10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0C31E3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無此項</w:t>
            </w: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0066">
        <w:trPr>
          <w:trHeight w:val="510"/>
        </w:trPr>
        <w:tc>
          <w:tcPr>
            <w:tcW w:w="6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E50066" w:rsidRDefault="000C31E3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(四)</w:t>
            </w:r>
          </w:p>
        </w:tc>
        <w:tc>
          <w:tcPr>
            <w:tcW w:w="332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0C31E3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基地周邊行道樹是否補植</w:t>
            </w:r>
          </w:p>
        </w:tc>
        <w:tc>
          <w:tcPr>
            <w:tcW w:w="250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0C31E3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0066">
        <w:trPr>
          <w:trHeight w:val="510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E50066" w:rsidRDefault="00E50066"/>
        </w:tc>
        <w:tc>
          <w:tcPr>
            <w:tcW w:w="332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25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143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10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0C31E3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0066">
        <w:trPr>
          <w:trHeight w:val="510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E50066" w:rsidRDefault="00E50066"/>
        </w:tc>
        <w:tc>
          <w:tcPr>
            <w:tcW w:w="332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25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143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10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0C31E3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無此項</w:t>
            </w: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0066">
        <w:trPr>
          <w:trHeight w:val="510"/>
        </w:trPr>
        <w:tc>
          <w:tcPr>
            <w:tcW w:w="6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E50066" w:rsidRDefault="000C31E3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(五)</w:t>
            </w:r>
          </w:p>
        </w:tc>
        <w:tc>
          <w:tcPr>
            <w:tcW w:w="332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0C31E3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臨基地上、下游二十公尺內連接管暨雨水下水道設施（請檢附竣工後基地周邊之連接管暨雨水下水道照片）</w:t>
            </w:r>
          </w:p>
        </w:tc>
        <w:tc>
          <w:tcPr>
            <w:tcW w:w="250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0C31E3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0066">
        <w:trPr>
          <w:trHeight w:val="510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E50066" w:rsidRDefault="00E50066"/>
        </w:tc>
        <w:tc>
          <w:tcPr>
            <w:tcW w:w="332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25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143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10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0C31E3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0066">
        <w:trPr>
          <w:trHeight w:val="510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E50066" w:rsidRDefault="00E50066"/>
        </w:tc>
        <w:tc>
          <w:tcPr>
            <w:tcW w:w="332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25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143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/>
        </w:tc>
        <w:tc>
          <w:tcPr>
            <w:tcW w:w="10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0C31E3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無此項</w:t>
            </w: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50066" w:rsidRDefault="00E50066">
            <w:pPr>
              <w:pStyle w:val="a8"/>
              <w:spacing w:after="283"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50066" w:rsidRDefault="000C31E3">
      <w:pPr>
        <w:pStyle w:val="a4"/>
        <w:spacing w:line="240" w:lineRule="auto"/>
        <w:rPr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t>附註：</w:t>
      </w:r>
    </w:p>
    <w:p w:rsidR="00E50066" w:rsidRDefault="000C31E3">
      <w:pPr>
        <w:pStyle w:val="a4"/>
        <w:ind w:firstLine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t>1.如有使照核發疑問請</w:t>
      </w:r>
      <w:proofErr w:type="gramStart"/>
      <w:r>
        <w:rPr>
          <w:rFonts w:ascii="標楷體" w:eastAsia="標楷體" w:hAnsi="標楷體"/>
          <w:b/>
          <w:sz w:val="20"/>
          <w:szCs w:val="20"/>
        </w:rPr>
        <w:t>電洽新北市</w:t>
      </w:r>
      <w:proofErr w:type="gramEnd"/>
      <w:r>
        <w:rPr>
          <w:rFonts w:ascii="標楷體" w:eastAsia="標楷體" w:hAnsi="標楷體"/>
          <w:b/>
          <w:sz w:val="20"/>
          <w:szCs w:val="20"/>
        </w:rPr>
        <w:t>政府工務局施工科 (02)2960-3456</w:t>
      </w:r>
    </w:p>
    <w:p w:rsidR="00E50066" w:rsidRDefault="000C31E3">
      <w:pPr>
        <w:pStyle w:val="a4"/>
        <w:ind w:left="440" w:hanging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t>2.為整合建案管線機構道路挖掘申請案及實施建案管線機構</w:t>
      </w:r>
      <w:proofErr w:type="gramStart"/>
      <w:r>
        <w:rPr>
          <w:rFonts w:ascii="標楷體" w:eastAsia="標楷體" w:hAnsi="標楷體"/>
          <w:b/>
          <w:sz w:val="20"/>
          <w:szCs w:val="20"/>
        </w:rPr>
        <w:t>齊挖齊補</w:t>
      </w:r>
      <w:proofErr w:type="gramEnd"/>
      <w:r>
        <w:rPr>
          <w:rFonts w:ascii="標楷體" w:eastAsia="標楷體" w:hAnsi="標楷體"/>
          <w:b/>
          <w:sz w:val="20"/>
          <w:szCs w:val="20"/>
        </w:rPr>
        <w:t>政策，減少道路重複挖掘施工並維護本市道路品質，依新北市政府102年10月18日</w:t>
      </w:r>
      <w:proofErr w:type="gramStart"/>
      <w:r>
        <w:rPr>
          <w:rFonts w:ascii="標楷體" w:eastAsia="標楷體" w:hAnsi="標楷體"/>
          <w:b/>
          <w:sz w:val="20"/>
          <w:szCs w:val="20"/>
        </w:rPr>
        <w:t>北府工養</w:t>
      </w:r>
      <w:proofErr w:type="gramEnd"/>
      <w:r>
        <w:rPr>
          <w:rFonts w:ascii="標楷體" w:eastAsia="標楷體" w:hAnsi="標楷體"/>
          <w:b/>
          <w:sz w:val="20"/>
          <w:szCs w:val="20"/>
        </w:rPr>
        <w:t>字第1023130695號函說明三略以，「本府新增禁挖管控規定如下：</w:t>
      </w:r>
    </w:p>
    <w:p w:rsidR="00E50066" w:rsidRDefault="000C31E3">
      <w:pPr>
        <w:pStyle w:val="a4"/>
        <w:ind w:left="1181" w:hanging="701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t>（一）道路管理機關統一核發該建案道路挖掘許可證後，自『核定挖掘日』起至『領得使用執照起算</w:t>
      </w:r>
      <w:proofErr w:type="gramStart"/>
      <w:r>
        <w:rPr>
          <w:rFonts w:ascii="標楷體" w:eastAsia="標楷體" w:hAnsi="標楷體"/>
          <w:b/>
          <w:sz w:val="20"/>
          <w:szCs w:val="20"/>
        </w:rPr>
        <w:t>一</w:t>
      </w:r>
      <w:proofErr w:type="gramEnd"/>
      <w:r>
        <w:rPr>
          <w:rFonts w:ascii="標楷體" w:eastAsia="標楷體" w:hAnsi="標楷體"/>
          <w:b/>
          <w:sz w:val="20"/>
          <w:szCs w:val="20"/>
        </w:rPr>
        <w:t>年內』，該建案不得提出任一</w:t>
      </w:r>
      <w:proofErr w:type="gramStart"/>
      <w:r>
        <w:rPr>
          <w:rFonts w:ascii="標楷體" w:eastAsia="標楷體" w:hAnsi="標楷體"/>
          <w:b/>
          <w:sz w:val="20"/>
          <w:szCs w:val="20"/>
        </w:rPr>
        <w:t>管線之申</w:t>
      </w:r>
      <w:proofErr w:type="gramEnd"/>
      <w:r>
        <w:rPr>
          <w:rFonts w:ascii="標楷體" w:eastAsia="標楷體" w:hAnsi="標楷體"/>
          <w:b/>
          <w:sz w:val="20"/>
          <w:szCs w:val="20"/>
        </w:rPr>
        <w:t>設。</w:t>
      </w:r>
    </w:p>
    <w:p w:rsidR="00E50066" w:rsidRDefault="000C31E3">
      <w:pPr>
        <w:pStyle w:val="a4"/>
        <w:ind w:left="1181" w:hanging="701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t>（二）5大管線外管（道路範圍）應先行申請埋設並於申請使用執照前完成挖掘埋設修復，如無辦理埋設則</w:t>
      </w:r>
      <w:proofErr w:type="gramStart"/>
      <w:r>
        <w:rPr>
          <w:rFonts w:ascii="標楷體" w:eastAsia="標楷體" w:hAnsi="標楷體"/>
          <w:b/>
          <w:sz w:val="20"/>
          <w:szCs w:val="20"/>
        </w:rPr>
        <w:t>須於領得</w:t>
      </w:r>
      <w:proofErr w:type="gramEnd"/>
      <w:r>
        <w:rPr>
          <w:rFonts w:ascii="標楷體" w:eastAsia="標楷體" w:hAnsi="標楷體"/>
          <w:b/>
          <w:sz w:val="20"/>
          <w:szCs w:val="20"/>
        </w:rPr>
        <w:t>使用執照起算一年後再行申請。」。</w:t>
      </w:r>
    </w:p>
    <w:p w:rsidR="00E50066" w:rsidRDefault="000C31E3">
      <w:pPr>
        <w:pStyle w:val="a4"/>
        <w:ind w:left="1181" w:hanging="701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t>如有</w:t>
      </w:r>
      <w:proofErr w:type="gramStart"/>
      <w:r>
        <w:rPr>
          <w:rFonts w:ascii="標楷體" w:eastAsia="標楷體" w:hAnsi="標楷體"/>
          <w:b/>
          <w:sz w:val="20"/>
          <w:szCs w:val="20"/>
        </w:rPr>
        <w:t>道路申挖疑問</w:t>
      </w:r>
      <w:proofErr w:type="gramEnd"/>
      <w:r>
        <w:rPr>
          <w:rFonts w:ascii="標楷體" w:eastAsia="標楷體" w:hAnsi="標楷體"/>
          <w:b/>
          <w:sz w:val="20"/>
          <w:szCs w:val="20"/>
        </w:rPr>
        <w:t>請</w:t>
      </w:r>
      <w:proofErr w:type="gramStart"/>
      <w:r>
        <w:rPr>
          <w:rFonts w:ascii="標楷體" w:eastAsia="標楷體" w:hAnsi="標楷體"/>
          <w:b/>
          <w:sz w:val="20"/>
          <w:szCs w:val="20"/>
        </w:rPr>
        <w:t>電洽新北</w:t>
      </w:r>
      <w:proofErr w:type="gramEnd"/>
      <w:r>
        <w:rPr>
          <w:rFonts w:ascii="標楷體" w:eastAsia="標楷體" w:hAnsi="標楷體"/>
          <w:b/>
          <w:sz w:val="20"/>
          <w:szCs w:val="20"/>
        </w:rPr>
        <w:t>市政府養護工程處挖掘管理科 (02)2225-3299</w:t>
      </w:r>
    </w:p>
    <w:sectPr w:rsidR="00E50066" w:rsidSect="000C31E3">
      <w:pgSz w:w="11906" w:h="16838"/>
      <w:pgMar w:top="851" w:right="1134" w:bottom="709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66"/>
    <w:rsid w:val="000C31E3"/>
    <w:rsid w:val="00287990"/>
    <w:rsid w:val="00C73608"/>
    <w:rsid w:val="00E5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FB6F"/>
  <w15:docId w15:val="{11E36A1A-4FCA-4398-9C30-A98C020D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2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格內容"/>
    <w:basedOn w:val="a"/>
    <w:qFormat/>
    <w:pPr>
      <w:suppressLineNumbers/>
    </w:pPr>
  </w:style>
  <w:style w:type="paragraph" w:customStyle="1" w:styleId="a9">
    <w:name w:val="表格標題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張明洲</cp:lastModifiedBy>
  <cp:revision>6</cp:revision>
  <dcterms:created xsi:type="dcterms:W3CDTF">2020-01-14T22:13:00Z</dcterms:created>
  <dcterms:modified xsi:type="dcterms:W3CDTF">2023-11-03T07:12:00Z</dcterms:modified>
  <dc:language>zh-TW</dc:language>
</cp:coreProperties>
</file>